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Скорректирован порядок избрания и продления меры процессуального пресечения в виде заключения под стражу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Федеральным законом от 02.08.2019 №</w:t>
      </w:r>
      <w:r w:rsidR="005A1337">
        <w:rPr>
          <w:rFonts w:ascii="Tahoma" w:hAnsi="Tahoma" w:cs="Tahoma"/>
          <w:color w:val="000000"/>
          <w:sz w:val="27"/>
          <w:szCs w:val="27"/>
        </w:rPr>
        <w:t xml:space="preserve"> 315-ФЗ внесены изменения в ста</w:t>
      </w:r>
      <w:r>
        <w:rPr>
          <w:rFonts w:ascii="Tahoma" w:hAnsi="Tahoma" w:cs="Tahoma"/>
          <w:color w:val="000000"/>
          <w:sz w:val="27"/>
          <w:szCs w:val="27"/>
        </w:rPr>
        <w:t>тьи 108 и 109 Уголовно-процессуального кодекса Российской Федерации.</w:t>
      </w:r>
      <w:r>
        <w:rPr>
          <w:rFonts w:ascii="Tahoma" w:hAnsi="Tahoma" w:cs="Tahoma"/>
          <w:color w:val="000000"/>
          <w:sz w:val="27"/>
          <w:szCs w:val="27"/>
        </w:rPr>
        <w:br/>
        <w:t>Федеральным законом внесены изменения в Уголовно-процессуальный кодекс Российской, регламентирующие сроки содержания под стражей и порядок их продления в отношении лиц, подозреваемых и обвиняемых в совершении преступлений, в том числе в сфере предпринимательской деятельности, в случае если по уголовному делу не производятся активные следственные действия.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Установлены дополнительные требования к постановлению органов предварительного расследования о возбуждении ходатайства о продлении срока содержания под стражей. Такое постановление должно содержать, в том числе, сведения о процессуальных действиях, произведённых в период после избрания указанной меры пресечения или последнего продления срока её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при-менения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, а также основания и мотивы продления срока содержания под стражей.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Законодатель также определил необходимость отражать в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указанном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по-становлении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причины, по которым действия не были произведены в установленные ранее сроки, если одним из мотивов продления является необходимость производства процессуальных действий, приведённых в предыдущих ходатайствах.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УПК РФ внесены дополнения, предусматривающие, что судья, разрешающий поступившее ходатайство, принимает решение на основании оценки приведённых в нем мотивов, а также с учётом правовой и фактической сложности материалов уголовного дела, общей продолжительности досудебного производства по уголовному делу, эффективности действий должностных лиц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ор-ганов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предварительного расследования и своевременности проведения следственных и иных процессуальных действий.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Поправками судье предоставлено право продлить содержание под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стра-жей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на меньший срок, чем указано в постановлении о возбуждении ходатайства, а в случае отказа в удовлетворении ходатайства о продлении срока содержания под стражей право при наличии соответствующих оснований избрать в отношении обвиняемого меру пресечения в виде запрета определенных действий, залога или домашнего ареста.</w:t>
      </w:r>
      <w:proofErr w:type="gramEnd"/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Документ вступил в законную силу с 13.08.2019.</w:t>
      </w:r>
    </w:p>
    <w:p w:rsidR="00C56B60" w:rsidRDefault="00C56B60"/>
    <w:p w:rsidR="00A73898" w:rsidRDefault="00A73898"/>
    <w:p w:rsidR="00A73898" w:rsidRDefault="00A73898"/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>О гражданстве РФ и паспорте гражданина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Согласно ст. 3 Федерального закона от 31.05.2002 № 62-ФЗ «О гражданстве Российской Федерации» (далее - Закон № 62-ФЗ) гражданство Российской Федерации - устойчивая правовая связь лица с Российской Федерацией, выражающаяся в совокупности их взаимных прав и обязанностей.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Согласно ст. 11 Закона № 62-ФЗ выделяются 4 группы оснований приобретения гражданства: по рождению; в результате приема в гражданство Российской Федерации; в результате восстановления в гражданстве Российской Федерации; по иным основаниям, предусмотренным Федеральным законом или международным договором Российской Федерации.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Прием в гражданство может осуществляться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как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 общем, так и в упрощенном порядке. Условия, от соблюдения которых зависит порядок приобретения гражданства, изложены в ст. 13, 14 Закона № 62-ФЗ.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В целом, приобретение гражданства Российской Федерации представляет собой юридическую процедуру, поэтапно регламентированную указанным федеральным законом от оснований до получения документа, удостоверяющего гражданство РФ.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>Таким образом, получение паспорта гражданина Российской Федерации является результатом соблюдения правовых предписаний и совершения нормативно регламентированных действий.</w:t>
      </w:r>
    </w:p>
    <w:p w:rsidR="00A73898" w:rsidRDefault="00A73898" w:rsidP="00A73898">
      <w:pPr>
        <w:pStyle w:val="a3"/>
        <w:shd w:val="clear" w:color="auto" w:fill="FFFFFF"/>
        <w:spacing w:before="0" w:beforeAutospacing="0" w:after="97" w:afterAutospacing="0"/>
        <w:ind w:firstLine="428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За приобретение паспорта гражданина РФ вопреки предусмотренным законодательством процедурам, равно как и за подделку паспорта гражданина предусмотрена уголовная ответственность (ст. 327 УК РФ).</w:t>
      </w:r>
    </w:p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A73898" w:rsidRDefault="00A73898"/>
    <w:p w:rsidR="00644E2B" w:rsidRPr="00644E2B" w:rsidRDefault="00644E2B" w:rsidP="00A73898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lastRenderedPageBreak/>
        <w:t>Внесены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32"/>
          <w:szCs w:val="32"/>
        </w:rPr>
        <w:t> </w:t>
      </w: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t>изменения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32"/>
          <w:szCs w:val="32"/>
        </w:rPr>
        <w:t> </w:t>
      </w: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t>в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32"/>
          <w:szCs w:val="32"/>
        </w:rPr>
        <w:t> </w:t>
      </w: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t>закон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32"/>
          <w:szCs w:val="32"/>
        </w:rPr>
        <w:t> </w:t>
      </w: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t>"О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32"/>
          <w:szCs w:val="32"/>
        </w:rPr>
        <w:t> </w:t>
      </w:r>
      <w:r w:rsidRPr="00644E2B">
        <w:rPr>
          <w:rFonts w:ascii="Times New Roman" w:hAnsi="Times New Roman" w:cs="Times New Roman"/>
          <w:b/>
          <w:color w:val="337FBD"/>
          <w:sz w:val="32"/>
          <w:szCs w:val="32"/>
        </w:rPr>
        <w:t>ветеранах".</w:t>
      </w: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98">
        <w:rPr>
          <w:rFonts w:ascii="Times New Roman" w:hAnsi="Times New Roman" w:cs="Times New Roman"/>
          <w:color w:val="000000"/>
          <w:sz w:val="28"/>
          <w:szCs w:val="28"/>
        </w:rPr>
        <w:t>02.08.2019 Президент подписал Федеральный закон «О внесении изменений в статьи 3 и 4 Федерального закона «О ветеранах».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>Указанным Федеральным законом расширен перечень лиц, имеющих права на получение статуса Ветерана и Инвалида боевых действий.</w:t>
      </w:r>
      <w:r w:rsidRPr="00A738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Так, Федеральным законом предусматривается отнесение 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на территории Республики Дагестан, к ветеранам боевых действий, а в случае если указанные лица являются инвалидами и в установленном законодательством Российской Федерации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подтвердили, что инвалидность возникла вследствие ранения, контузии или увечья, полученных ими в составе отрядов самообороны Республики Дагестан в этот период, к инвалидам боевых действий.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Федеральным </w:t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названным лицам предоставляются меры социальной поддержки, предусмотренные Федеральным законом «О ветеранах» для ветеранов боевых действий и инвалидов боевых действий соответственно.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>Федеральный закон вступает в силу с 1 января 2020 года.</w:t>
      </w: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Pr="00644E2B" w:rsidRDefault="00A73898" w:rsidP="00644E2B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44E2B" w:rsidRPr="00644E2B" w:rsidRDefault="00644E2B" w:rsidP="00644E2B">
      <w:pPr>
        <w:rPr>
          <w:rFonts w:ascii="Times New Roman" w:hAnsi="Times New Roman" w:cs="Times New Roman"/>
          <w:b/>
          <w:color w:val="337FBD"/>
          <w:sz w:val="28"/>
          <w:szCs w:val="28"/>
        </w:rPr>
      </w:pP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Установлен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запрет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на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выдачу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микрозаймов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под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залог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жилого</w:t>
      </w:r>
      <w:r w:rsidRPr="00644E2B">
        <w:rPr>
          <w:rStyle w:val="apple-converted-space"/>
          <w:rFonts w:ascii="Times New Roman" w:hAnsi="Times New Roman" w:cs="Times New Roman"/>
          <w:b/>
          <w:color w:val="337FBD"/>
          <w:sz w:val="28"/>
          <w:szCs w:val="28"/>
        </w:rPr>
        <w:t> </w:t>
      </w:r>
      <w:r w:rsidRPr="00644E2B">
        <w:rPr>
          <w:rFonts w:ascii="Times New Roman" w:hAnsi="Times New Roman" w:cs="Times New Roman"/>
          <w:b/>
          <w:color w:val="337FBD"/>
          <w:sz w:val="28"/>
          <w:szCs w:val="28"/>
        </w:rPr>
        <w:t>помещения.</w:t>
      </w:r>
    </w:p>
    <w:p w:rsidR="00A73898" w:rsidRP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02.08.2019 № 271-ФЗ внесены дополнения в Федеральный закон от 02.07.2010 № 151-ФЗ «О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микрофинансовой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организациях».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С 01.10.2019 на территории Российской Федерации будет действовать запрет на заключение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микрофинансовыми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договоров потребительского займа с физическими лицами под залог жилого помещения или доли в нем.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Часть 1 статьи 12 Федерального закона «О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микрофинансовой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организациях» дополнена пунктом 11, которым установлено, что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микрофинансовая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не вправе выдавать займы физическому лицу в целях, не связанных с осуществлением предпринимательской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деятельности, обязательства заемщика по которым обеспечены залогом: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>а) жилого помещения заемщика и (или) иного физического лица - залогодателя по такому займу;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строительстве.</w:t>
      </w:r>
      <w:r w:rsidRPr="00A738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Кроме того, указанным законом </w:t>
      </w:r>
      <w:proofErr w:type="gram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расширены полномочия Банка России при осуществлении надзора за деятельностью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внесены</w:t>
      </w:r>
      <w:proofErr w:type="gram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поправки в перечень документов для внесения сведений о юридическом лице в государственный реестр </w:t>
      </w:r>
      <w:proofErr w:type="spellStart"/>
      <w:r w:rsidRPr="00A73898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A738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Default="00A73898" w:rsidP="00A73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898" w:rsidRPr="00A73898" w:rsidRDefault="00A73898" w:rsidP="00A73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898" w:rsidRPr="00A73898" w:rsidSect="00644E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3898"/>
    <w:rsid w:val="0031561F"/>
    <w:rsid w:val="00475014"/>
    <w:rsid w:val="005A1337"/>
    <w:rsid w:val="00644E2B"/>
    <w:rsid w:val="00A73898"/>
    <w:rsid w:val="00C051EF"/>
    <w:rsid w:val="00C5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898"/>
    <w:rPr>
      <w:b/>
      <w:bCs/>
    </w:rPr>
  </w:style>
  <w:style w:type="character" w:customStyle="1" w:styleId="apple-converted-space">
    <w:name w:val="apple-converted-space"/>
    <w:basedOn w:val="a0"/>
    <w:rsid w:val="00A7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2019-09-19T03:37:00Z</dcterms:created>
  <dcterms:modified xsi:type="dcterms:W3CDTF">2019-09-19T03:38:00Z</dcterms:modified>
</cp:coreProperties>
</file>