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024" w:rsidRPr="008D136A" w:rsidRDefault="00B90024" w:rsidP="008D136A">
      <w:pPr>
        <w:jc w:val="both"/>
        <w:rPr>
          <w:rFonts w:eastAsia="Times New Roman"/>
          <w:b/>
          <w:bCs/>
          <w:color w:val="333333"/>
          <w:lang w:eastAsia="ru-RU"/>
        </w:rPr>
      </w:pPr>
      <w:r w:rsidRPr="008D136A">
        <w:rPr>
          <w:rFonts w:eastAsia="Times New Roman"/>
          <w:b/>
          <w:bCs/>
          <w:color w:val="333333"/>
          <w:lang w:eastAsia="ru-RU"/>
        </w:rPr>
        <w:t>Определены некоторые особенности проведения контрольных (надзорных) мероприятий в 2023 году</w:t>
      </w:r>
    </w:p>
    <w:p w:rsidR="00B90024" w:rsidRPr="008D136A" w:rsidRDefault="00B90024" w:rsidP="008D136A">
      <w:pPr>
        <w:shd w:val="clear" w:color="auto" w:fill="FFFFFF"/>
        <w:jc w:val="both"/>
        <w:rPr>
          <w:rFonts w:eastAsia="Times New Roman"/>
          <w:color w:val="333333"/>
          <w:lang w:eastAsia="ru-RU"/>
        </w:rPr>
      </w:pP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Постановлением Правительств</w:t>
      </w:r>
      <w:r w:rsidR="003D1FBF">
        <w:rPr>
          <w:rFonts w:eastAsia="Times New Roman"/>
          <w:color w:val="333333"/>
          <w:lang w:eastAsia="ru-RU"/>
        </w:rPr>
        <w:t>а</w:t>
      </w:r>
      <w:r w:rsidRPr="008D136A">
        <w:rPr>
          <w:rFonts w:eastAsia="Times New Roman"/>
          <w:color w:val="333333"/>
          <w:lang w:eastAsia="ru-RU"/>
        </w:rPr>
        <w:t xml:space="preserve"> Российской Федерации от 01.10.2022 № 1743 внесены изменения в особенности организации и осуществления государственного контроля (надзора), муниципального контроля.</w:t>
      </w: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Установлено, что плановые контрольные (надзорные) мероприятия, плановые проверки в 2023 году будут осуществляться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Указанные ограничения не распространяются на виды государственного контроля (надзора), в отношении которых не применяется риск-ориентированный подход.</w:t>
      </w: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В планы проведения плановых контрольных (надзорных) мероприятий на 2023 год не подлежат также включению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Предусмотрено, что контролируемое лицо вправе обратиться в контрольный (надзорный) орган с просьбой о проведении профилактического визита.</w:t>
      </w:r>
    </w:p>
    <w:p w:rsidR="00B90024" w:rsidRPr="008D136A"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B90024" w:rsidRDefault="00B90024" w:rsidP="008D136A">
      <w:pPr>
        <w:shd w:val="clear" w:color="auto" w:fill="FFFFFF"/>
        <w:jc w:val="both"/>
        <w:rPr>
          <w:rFonts w:eastAsia="Times New Roman"/>
          <w:color w:val="333333"/>
          <w:lang w:eastAsia="ru-RU"/>
        </w:rPr>
      </w:pPr>
      <w:r w:rsidRPr="008D136A">
        <w:rPr>
          <w:rFonts w:eastAsia="Times New Roman"/>
          <w:color w:val="333333"/>
          <w:lang w:eastAsia="ru-RU"/>
        </w:rPr>
        <w:t>Постановление Правительства Российской Федерации от 01.10.2022 № 1743 «О внесении изменений в постановление Правительства Российской Федерации от 10 марта 2022 г. № 336» вступило в силу 03.10.2022.</w:t>
      </w: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Default="008D136A" w:rsidP="008D136A">
      <w:pPr>
        <w:shd w:val="clear" w:color="auto" w:fill="FFFFFF"/>
        <w:jc w:val="both"/>
        <w:rPr>
          <w:rFonts w:eastAsia="Times New Roman"/>
          <w:color w:val="333333"/>
          <w:lang w:eastAsia="ru-RU"/>
        </w:rPr>
      </w:pPr>
    </w:p>
    <w:p w:rsidR="008D136A" w:rsidRPr="008D136A" w:rsidRDefault="008D136A" w:rsidP="008D136A">
      <w:pPr>
        <w:shd w:val="clear" w:color="auto" w:fill="FFFFFF"/>
        <w:jc w:val="both"/>
        <w:rPr>
          <w:rFonts w:eastAsia="Times New Roman"/>
          <w:color w:val="333333"/>
          <w:lang w:eastAsia="ru-RU"/>
        </w:rPr>
      </w:pPr>
    </w:p>
    <w:p w:rsidR="00B90024" w:rsidRPr="008D136A" w:rsidRDefault="00B90024" w:rsidP="008D136A">
      <w:pPr>
        <w:shd w:val="clear" w:color="auto" w:fill="FFFFFF"/>
        <w:jc w:val="both"/>
        <w:rPr>
          <w:caps/>
          <w:color w:val="222222"/>
          <w:shd w:val="clear" w:color="auto" w:fill="FFFFFF"/>
        </w:rPr>
      </w:pPr>
      <w:r w:rsidRPr="008D136A">
        <w:rPr>
          <w:caps/>
          <w:color w:val="222222"/>
          <w:shd w:val="clear" w:color="auto" w:fill="FFFFFF"/>
        </w:rPr>
        <w:lastRenderedPageBreak/>
        <w:t>ПРОКУРАТУРА РАЗЪЯСНЯЕТ: С 1 ЯНВАРЯ 2023 ГОДА ВВЕДЕНО УНИВЕРСАЛЬНОЕ ПОСОБИЕ НА ДЕТЕЙ</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21 ноября 2022 года принят Федеральный закон № 455-ФЗ «О государственных пособиях гражданам, имеющим детей», который предусматривает меры государственной поддержки нуждающихся семей от периода беременности женщины до достижения ребенком 17-летнего возраста.</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В связи с этим с 1 января 2023 года вводится так называемое универсальное пособие - единое пособие для семей с невысокими доходами на детей в возрасте до 17 лет, а также для беременных женщин, вставших на учет в ранние сроки, которое объединит 6 действующих мер поддержки:</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ежемесячное пособие женщине, вставшей на учет в медицинской организации в ранние сроки беременности;</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пособие по уходу за ребенком гражданам, не подлежащим обязательному социальному страхованию на случай временной нетрудоспособности и в связи с материнством;</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ежемесячная выплата в связи с рождением (усыновлением) первого ребенка до достижения им возраста 3 лет.</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ежемесячная выплата в связи с рождением (усыновлением) третьего или последующего ребенка до достижения им возраста 3 лет.</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ежемесячная денежная выплата на ребенка в возрасте от 3 до 7 лет включительно;</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 ежемесячная денежная выплата на ребенка в возрасте от 8 до 17 лет.</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Пособие будет предоставляться на единых правилах Социальным фондом России семьям с доходами ниже одного прожиточного минимума на человека с применением комплексной оценки нуждаемости. Назначается оно с месяца обращения.</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Поскольку в результате объединения пособий существенно подвергнутся изменению условия предоставления выплат на детей в возрасте от 0 до 3 лет, в семьях, где дети родились до 31 декабря 2022 года, родители вправе сами определить будут ли они получать пособия по старым правилам или перейдут на универсальное пособие.</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К примеру, семья выбирает, какими правилами воспользоваться – получать выплату по уходу за ребенком до 1,5 лет, сочетая ее, например, с выплатой на первого ребенка или перейти на универсальное пособие и получать одну или две выплаты в зависимости от нуждаемости (одна выплата – только из бюджета или две из бюджета и из средств материнского капитала).</w:t>
      </w:r>
    </w:p>
    <w:p w:rsidR="00B90024" w:rsidRPr="008D136A" w:rsidRDefault="00B90024" w:rsidP="008D136A">
      <w:pPr>
        <w:pStyle w:val="a3"/>
        <w:shd w:val="clear" w:color="auto" w:fill="FFFFFF"/>
        <w:spacing w:before="0" w:beforeAutospacing="0" w:after="0" w:afterAutospacing="0"/>
        <w:jc w:val="both"/>
        <w:rPr>
          <w:color w:val="101010"/>
          <w:sz w:val="28"/>
          <w:szCs w:val="28"/>
        </w:rPr>
      </w:pPr>
      <w:r w:rsidRPr="008D136A">
        <w:rPr>
          <w:color w:val="101010"/>
          <w:sz w:val="28"/>
          <w:szCs w:val="28"/>
        </w:rPr>
        <w:t>В случае назначения универсального пособия выплаты пособия на ребенка от 3 до 7 лет включительно или на ребенка от 8 до 17 лет прекращаются. Если в назначении универсального пособия отказано, то пособие на ребенка от 3 до 7 лет или на ребенка от 8 до 17 выплачивается до окончания периода его назначения на ранее установленных основаниях.</w:t>
      </w:r>
    </w:p>
    <w:p w:rsidR="00B90024" w:rsidRPr="008D136A" w:rsidRDefault="00B90024"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jc w:val="both"/>
        <w:outlineLvl w:val="0"/>
        <w:rPr>
          <w:rFonts w:eastAsia="Times New Roman"/>
          <w:b/>
          <w:bCs/>
          <w:kern w:val="36"/>
          <w:lang w:eastAsia="ru-RU"/>
        </w:rPr>
      </w:pPr>
      <w:r w:rsidRPr="008D136A">
        <w:rPr>
          <w:rFonts w:eastAsia="Times New Roman"/>
          <w:b/>
          <w:bCs/>
          <w:kern w:val="36"/>
          <w:lang w:eastAsia="ru-RU"/>
        </w:rPr>
        <w:lastRenderedPageBreak/>
        <w:t>Изменения в действующем законодательстве об административных правонарушениях</w:t>
      </w:r>
    </w:p>
    <w:p w:rsidR="00B90024" w:rsidRPr="008D136A" w:rsidRDefault="00B90024" w:rsidP="008D136A">
      <w:pPr>
        <w:jc w:val="both"/>
        <w:rPr>
          <w:rFonts w:eastAsia="Times New Roman"/>
          <w:color w:val="9B9B9B"/>
          <w:lang w:eastAsia="ru-RU"/>
        </w:rPr>
      </w:pPr>
    </w:p>
    <w:p w:rsidR="00B90024" w:rsidRPr="008D136A" w:rsidRDefault="00B90024" w:rsidP="008D136A">
      <w:pPr>
        <w:ind w:firstLine="709"/>
        <w:jc w:val="both"/>
        <w:rPr>
          <w:rFonts w:eastAsia="Times New Roman"/>
          <w:lang w:eastAsia="ru-RU"/>
        </w:rPr>
      </w:pPr>
      <w:r w:rsidRPr="008D136A">
        <w:rPr>
          <w:rFonts w:eastAsia="Times New Roman"/>
          <w:lang w:eastAsia="ru-RU"/>
        </w:rPr>
        <w:t>В июле 2022 года внесены изменения в статью 8.2 КоАП РФ, согласно которым установлена административная ответственность за выгрузку или сброс отходов производства и потребления с автомототранспортных средств и прицепов к ним вне объектов размещения отходов или мест (площадок) накопления отходов.</w:t>
      </w:r>
    </w:p>
    <w:p w:rsidR="00B90024" w:rsidRPr="008D136A" w:rsidRDefault="00B90024" w:rsidP="008D136A">
      <w:pPr>
        <w:ind w:firstLine="709"/>
        <w:jc w:val="both"/>
        <w:rPr>
          <w:rFonts w:eastAsia="Times New Roman"/>
          <w:lang w:eastAsia="ru-RU"/>
        </w:rPr>
      </w:pPr>
      <w:r w:rsidRPr="008D136A">
        <w:rPr>
          <w:rFonts w:eastAsia="Times New Roman"/>
          <w:lang w:eastAsia="ru-RU"/>
        </w:rPr>
        <w:t>Данные поправки направлены на повышение дисциплины и ответственности за загрязнение и засорение окружающей среды.</w:t>
      </w:r>
    </w:p>
    <w:p w:rsidR="00B90024" w:rsidRPr="008D136A" w:rsidRDefault="00B90024" w:rsidP="008D136A">
      <w:pPr>
        <w:ind w:firstLine="709"/>
        <w:jc w:val="both"/>
        <w:rPr>
          <w:rFonts w:eastAsia="Times New Roman"/>
          <w:lang w:eastAsia="ru-RU"/>
        </w:rPr>
      </w:pPr>
      <w:r w:rsidRPr="008D136A">
        <w:rPr>
          <w:rFonts w:eastAsia="Times New Roman"/>
          <w:lang w:eastAsia="ru-RU"/>
        </w:rPr>
        <w:t>Так, для граждан, впервые совершивших такое административное правонарушение, минимальный штраф составит 10 тыс. руб.; за выгрузку отходов с использованием грузовых машин, тракторов гражданин будет привлечен к штрафу в размере не менее 40 тыс. руб.</w:t>
      </w:r>
    </w:p>
    <w:p w:rsidR="00B90024" w:rsidRPr="008D136A" w:rsidRDefault="00B90024" w:rsidP="008D136A">
      <w:pPr>
        <w:ind w:firstLine="709"/>
        <w:jc w:val="both"/>
        <w:rPr>
          <w:rFonts w:eastAsia="Times New Roman"/>
          <w:lang w:eastAsia="ru-RU"/>
        </w:rPr>
      </w:pPr>
      <w:r w:rsidRPr="008D136A">
        <w:rPr>
          <w:rFonts w:eastAsia="Times New Roman"/>
          <w:lang w:eastAsia="ru-RU"/>
        </w:rPr>
        <w:t>Штрафные санкции предусматриваются и для юридических лиц.</w:t>
      </w:r>
    </w:p>
    <w:p w:rsidR="00B90024" w:rsidRPr="008D136A" w:rsidRDefault="00B90024" w:rsidP="008D136A">
      <w:pPr>
        <w:ind w:firstLine="709"/>
        <w:jc w:val="both"/>
        <w:rPr>
          <w:rFonts w:eastAsia="Times New Roman"/>
          <w:lang w:eastAsia="ru-RU"/>
        </w:rPr>
      </w:pPr>
      <w:r w:rsidRPr="008D136A">
        <w:rPr>
          <w:rFonts w:eastAsia="Times New Roman"/>
          <w:lang w:eastAsia="ru-RU"/>
        </w:rPr>
        <w:t>Также, согласно внесенным поправкам, с 1 января 2023 года факты неправомерного сброса и выгрузки отходов производства и потребления в неустановленных местах могут фиксироваться и с помощью технических средств, работающих в автоматическом режиме.</w:t>
      </w:r>
    </w:p>
    <w:p w:rsidR="00B90024" w:rsidRDefault="00B90024"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Default="008D136A" w:rsidP="008D136A">
      <w:pPr>
        <w:pStyle w:val="a3"/>
        <w:shd w:val="clear" w:color="auto" w:fill="FFFFFF"/>
        <w:spacing w:before="0" w:beforeAutospacing="0" w:after="0" w:afterAutospacing="0"/>
        <w:jc w:val="both"/>
        <w:rPr>
          <w:color w:val="101010"/>
          <w:sz w:val="28"/>
          <w:szCs w:val="28"/>
        </w:rPr>
      </w:pPr>
    </w:p>
    <w:p w:rsidR="008D136A" w:rsidRPr="008D136A" w:rsidRDefault="008D136A"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shd w:val="clear" w:color="auto" w:fill="FFFFFF"/>
        <w:jc w:val="both"/>
        <w:outlineLvl w:val="0"/>
        <w:rPr>
          <w:rFonts w:eastAsia="Times New Roman"/>
          <w:b/>
          <w:bCs/>
          <w:color w:val="000000"/>
          <w:kern w:val="36"/>
          <w:lang w:eastAsia="ru-RU"/>
        </w:rPr>
      </w:pPr>
      <w:bookmarkStart w:id="0" w:name="_Hlk126051328"/>
      <w:r w:rsidRPr="008D136A">
        <w:rPr>
          <w:rFonts w:eastAsia="Times New Roman"/>
          <w:b/>
          <w:bCs/>
          <w:color w:val="000000"/>
          <w:kern w:val="36"/>
          <w:lang w:eastAsia="ru-RU"/>
        </w:rPr>
        <w:lastRenderedPageBreak/>
        <w:t>Новое в трудовом законодательстве (о приеме и увольнении и др.)</w:t>
      </w:r>
    </w:p>
    <w:p w:rsidR="00B90024" w:rsidRPr="008D136A" w:rsidRDefault="00B90024" w:rsidP="008D136A">
      <w:pPr>
        <w:shd w:val="clear" w:color="auto" w:fill="FFFFFF"/>
        <w:ind w:firstLine="709"/>
        <w:jc w:val="both"/>
        <w:rPr>
          <w:rFonts w:eastAsia="Times New Roman"/>
          <w:color w:val="000000"/>
          <w:lang w:eastAsia="ru-RU"/>
        </w:rPr>
      </w:pPr>
      <w:r w:rsidRPr="008D136A">
        <w:rPr>
          <w:rFonts w:eastAsia="Times New Roman"/>
          <w:color w:val="000000"/>
          <w:lang w:eastAsia="ru-RU"/>
        </w:rPr>
        <w:t>С 1 января 2023 года о приеме и увольнении работников нужно сообщать в Социальный фонд России по новой единой форме (ранее - форма СЗВ-ТД). Срок подачи остается тот же - не позднее рабочего дня, следующего за днем приема или увольнения.</w:t>
      </w:r>
    </w:p>
    <w:p w:rsidR="00B90024" w:rsidRPr="008D136A" w:rsidRDefault="00B90024" w:rsidP="008D136A">
      <w:pPr>
        <w:shd w:val="clear" w:color="auto" w:fill="FFFFFF"/>
        <w:ind w:firstLine="709"/>
        <w:jc w:val="both"/>
        <w:rPr>
          <w:rFonts w:eastAsia="Times New Roman"/>
          <w:color w:val="000000"/>
          <w:lang w:eastAsia="ru-RU"/>
        </w:rPr>
      </w:pPr>
      <w:r w:rsidRPr="008D136A">
        <w:rPr>
          <w:rFonts w:eastAsia="Times New Roman"/>
          <w:color w:val="000000"/>
          <w:lang w:eastAsia="ru-RU"/>
        </w:rPr>
        <w:t>Также с 1 января 2023 года работодатель обязан сообщать о заключении либо прекращении с гражданином договора гражданско-правового характера в Социальный фонд России. Срок - не позднее рабочего дня после заключения либо расторжения договора. Требование касается договоров, на вознаграждения по которым начисляют страховые взносы в соответствии с Налоговым кодексом Российской Федерации.</w:t>
      </w:r>
    </w:p>
    <w:p w:rsidR="00B90024" w:rsidRPr="008D136A" w:rsidRDefault="00B90024" w:rsidP="008D136A">
      <w:pPr>
        <w:shd w:val="clear" w:color="auto" w:fill="FFFFFF"/>
        <w:ind w:firstLine="709"/>
        <w:jc w:val="both"/>
        <w:rPr>
          <w:rFonts w:eastAsia="Times New Roman"/>
          <w:color w:val="000000"/>
          <w:lang w:eastAsia="ru-RU"/>
        </w:rPr>
      </w:pPr>
      <w:r w:rsidRPr="008D136A">
        <w:rPr>
          <w:rFonts w:eastAsia="Times New Roman"/>
          <w:color w:val="000000"/>
          <w:lang w:eastAsia="ru-RU"/>
        </w:rPr>
        <w:t>Кроме того, с 1 января 2023 года введены новые бланки трудовых книжек. Приобретать такие бланки можно только у их изготовителя - Объединение ГОЗНАК или у определенных распространителей из соответствующего списка. Также с 1 января 2023 года оформление дубликатов трудовых книжек и вкладышей осуществляется по новым правилам, утвержденным приказом Минтруда.</w:t>
      </w:r>
    </w:p>
    <w:bookmarkEnd w:id="0"/>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Default="00B90024"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Default="008D136A" w:rsidP="008D136A">
      <w:pPr>
        <w:shd w:val="clear" w:color="auto" w:fill="FFFFFF"/>
        <w:ind w:firstLine="709"/>
        <w:jc w:val="both"/>
        <w:rPr>
          <w:rFonts w:eastAsia="Times New Roman"/>
          <w:color w:val="000000"/>
          <w:lang w:eastAsia="ru-RU"/>
        </w:rPr>
      </w:pPr>
    </w:p>
    <w:p w:rsidR="008D136A" w:rsidRPr="008D136A" w:rsidRDefault="008D136A"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F453C3" w:rsidP="008D136A">
      <w:pPr>
        <w:pStyle w:val="a3"/>
        <w:shd w:val="clear" w:color="auto" w:fill="FFFFFF"/>
        <w:spacing w:before="0" w:beforeAutospacing="0" w:after="0" w:afterAutospacing="0"/>
        <w:ind w:firstLine="709"/>
        <w:jc w:val="both"/>
        <w:rPr>
          <w:b/>
          <w:color w:val="000000"/>
          <w:sz w:val="28"/>
          <w:szCs w:val="28"/>
        </w:rPr>
      </w:pPr>
      <w:r w:rsidRPr="008D136A">
        <w:rPr>
          <w:b/>
          <w:color w:val="000000"/>
          <w:sz w:val="28"/>
          <w:szCs w:val="28"/>
        </w:rPr>
        <w:lastRenderedPageBreak/>
        <w:t>С</w:t>
      </w:r>
      <w:r w:rsidR="00B90024" w:rsidRPr="008D136A">
        <w:rPr>
          <w:b/>
          <w:color w:val="000000"/>
          <w:sz w:val="28"/>
          <w:szCs w:val="28"/>
        </w:rPr>
        <w:t xml:space="preserve"> 1 января 2023 года граждане, работающие по договорам гражданско-правового характера, имеют право на получение следующих выплат:</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   пособия по временной нетрудоспособности;</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   пособия по беременности и родам;</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   единовременного пособия при рождении ребенка;</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   ежемесячного пособия по уходу за ребенком;</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   социального пособия на погребение.</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С указанной даты работодатели должны платить взносы, в том числе с выплат лицам, работающим по договорам гражданско-правового характера, предметом которых является выполнение работ и (или) оказание услуг. Исключение составляют самозанятые, с которыми заключены договоры гражданско-правового характера.</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Получать пособия смогут только те исполнители по договорам гражданско-правового характера, которые в 2022 году работали по трудовому договору и за которых были перечислены взносы в Фонд социального страхования в размере не менее 4 833,72 руб.</w:t>
      </w:r>
    </w:p>
    <w:p w:rsidR="00B90024" w:rsidRPr="008D136A" w:rsidRDefault="00B90024" w:rsidP="008D136A">
      <w:pPr>
        <w:pStyle w:val="a3"/>
        <w:shd w:val="clear" w:color="auto" w:fill="FFFFFF"/>
        <w:spacing w:before="0" w:beforeAutospacing="0" w:after="0" w:afterAutospacing="0"/>
        <w:ind w:firstLine="709"/>
        <w:jc w:val="both"/>
        <w:rPr>
          <w:color w:val="000000"/>
          <w:sz w:val="28"/>
          <w:szCs w:val="28"/>
        </w:rPr>
      </w:pPr>
      <w:r w:rsidRPr="008D136A">
        <w:rPr>
          <w:color w:val="000000"/>
          <w:sz w:val="28"/>
          <w:szCs w:val="28"/>
        </w:rPr>
        <w:t>С 1 января 2023 года отменена обязанность временно пребывающих в Российскую Федерацию иностранных граждан (за исключением высококвалифицированных специалистов) предоставлять работодателю при заключении трудового договора полис добровольного медицинского страхования. Соответственно, отменена и обязанность работодателя указывать в трудовом договоре с иностранцем реквизиты полиса ДМС.</w:t>
      </w:r>
    </w:p>
    <w:p w:rsidR="00F453C3" w:rsidRPr="008D136A" w:rsidRDefault="00F453C3" w:rsidP="008D136A">
      <w:pPr>
        <w:pStyle w:val="a3"/>
        <w:shd w:val="clear" w:color="auto" w:fill="FFFFFF"/>
        <w:spacing w:before="0" w:beforeAutospacing="0" w:after="0" w:afterAutospacing="0"/>
        <w:ind w:firstLine="709"/>
        <w:jc w:val="both"/>
        <w:rPr>
          <w:color w:val="000000"/>
          <w:sz w:val="28"/>
          <w:szCs w:val="28"/>
        </w:rPr>
      </w:pPr>
    </w:p>
    <w:p w:rsidR="00F453C3" w:rsidRDefault="00F453C3"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Default="008D136A" w:rsidP="008D136A">
      <w:pPr>
        <w:pStyle w:val="a3"/>
        <w:shd w:val="clear" w:color="auto" w:fill="FFFFFF"/>
        <w:spacing w:before="0" w:beforeAutospacing="0" w:after="0" w:afterAutospacing="0"/>
        <w:ind w:firstLine="709"/>
        <w:jc w:val="both"/>
        <w:rPr>
          <w:color w:val="000000"/>
          <w:sz w:val="28"/>
          <w:szCs w:val="28"/>
        </w:rPr>
      </w:pPr>
    </w:p>
    <w:p w:rsidR="008D136A" w:rsidRPr="008D136A" w:rsidRDefault="008D136A" w:rsidP="008D136A">
      <w:pPr>
        <w:pStyle w:val="a3"/>
        <w:shd w:val="clear" w:color="auto" w:fill="FFFFFF"/>
        <w:spacing w:before="0" w:beforeAutospacing="0" w:after="0" w:afterAutospacing="0"/>
        <w:ind w:firstLine="709"/>
        <w:jc w:val="both"/>
        <w:rPr>
          <w:color w:val="000000"/>
          <w:sz w:val="28"/>
          <w:szCs w:val="28"/>
        </w:rPr>
      </w:pPr>
    </w:p>
    <w:p w:rsidR="00F453C3" w:rsidRPr="008D136A" w:rsidRDefault="00F453C3" w:rsidP="008D136A">
      <w:pPr>
        <w:pStyle w:val="a3"/>
        <w:shd w:val="clear" w:color="auto" w:fill="FFFFFF"/>
        <w:spacing w:before="0" w:beforeAutospacing="0" w:after="0" w:afterAutospacing="0"/>
        <w:ind w:firstLine="709"/>
        <w:jc w:val="both"/>
        <w:rPr>
          <w:color w:val="000000"/>
          <w:sz w:val="28"/>
          <w:szCs w:val="28"/>
        </w:rPr>
      </w:pPr>
    </w:p>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За хищение денежных средств с банковских карт предусмотрена уголовная ответственность</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Мошенничество представляет собой одно из самых распространенных общественно опасных деяний, посягающих на право собственности.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Платежные карты являются частью платежной системы, выдаваемой финансовыми учреждениями, которая позволяет ее владельцу получать доступ к средствам на указанных банковских счетах клиента или через кредитный счет и осуществлять платежи посредством электронного перевода и доступа к банкоматам.</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В случае,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 действия лица квалифицируются по ст. 159.3 УК РФ.</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За мошенничество, совершенное с использованием электронных средств платежа, предусмотрена уголовная ответственность в соответствии со статьей 159.3 Уголовного кодекса РФ. Такие действия влекут наказание в виде штрафа в размере до ста двадцати тысяч рублей и вплоть до лишения свободы на срок до трех лет.</w:t>
      </w: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Pr="008D136A" w:rsidRDefault="008D136A" w:rsidP="008D136A">
      <w:pPr>
        <w:pStyle w:val="a3"/>
        <w:shd w:val="clear" w:color="auto" w:fill="FFFFFF"/>
        <w:spacing w:before="0" w:beforeAutospacing="0" w:after="0" w:afterAutospacing="0"/>
        <w:jc w:val="both"/>
        <w:rPr>
          <w:color w:val="444141"/>
          <w:sz w:val="28"/>
          <w:szCs w:val="28"/>
        </w:rPr>
      </w:pPr>
    </w:p>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Последствия отказа водителя транспортного средства от прохождения медицинского освидетельствования на состояние опьянения</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Составом административного правонарушения, предусмотренного ст. 12.26 КоАП РФ,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совершении указанного деяния правонарушитель может быть подвергнут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В случае повторного управления лицом транспортным средством в состоянии алкогольного опьянения либо отказа от прохождения медицинского освидетельствования на состояние опьянения, в течении года с момента привлечения с момента привлечения к ответственности по ст. 12.26 КоАП РФ, в действиях лица будет образован состав преступления, предусмотренный ст. 264.1 УК РФ (управление транспортным средством в состоянии опьянения лицом, подвергнутым административному наказанию или имеющим судимость).</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За данное преступление предусмотрено наиболее строгое наказание в виде лишения свободы на срок до трех лет с лишением права занимать определенные должности или заниматься определенной деятельностью на срок до шести лет.</w:t>
      </w: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Pr="008D136A" w:rsidRDefault="008D136A" w:rsidP="008D136A">
      <w:pPr>
        <w:pStyle w:val="a3"/>
        <w:shd w:val="clear" w:color="auto" w:fill="FFFFFF"/>
        <w:spacing w:before="0" w:beforeAutospacing="0" w:after="0" w:afterAutospacing="0"/>
        <w:jc w:val="both"/>
        <w:rPr>
          <w:color w:val="444141"/>
          <w:sz w:val="28"/>
          <w:szCs w:val="28"/>
        </w:rPr>
      </w:pPr>
    </w:p>
    <w:tbl>
      <w:tblPr>
        <w:tblW w:w="10110" w:type="dxa"/>
        <w:shd w:val="clear" w:color="auto" w:fill="FFFFFF"/>
        <w:tblCellMar>
          <w:top w:w="15" w:type="dxa"/>
          <w:left w:w="15" w:type="dxa"/>
          <w:bottom w:w="15" w:type="dxa"/>
          <w:right w:w="15" w:type="dxa"/>
        </w:tblCellMar>
        <w:tblLook w:val="04A0" w:firstRow="1" w:lastRow="0" w:firstColumn="1" w:lastColumn="0" w:noHBand="0" w:noVBand="1"/>
      </w:tblPr>
      <w:tblGrid>
        <w:gridCol w:w="10110"/>
      </w:tblGrid>
      <w:tr w:rsidR="00F453C3" w:rsidRPr="008D136A" w:rsidTr="00F453C3">
        <w:tc>
          <w:tcPr>
            <w:tcW w:w="0" w:type="auto"/>
            <w:shd w:val="clear" w:color="auto" w:fill="FFFFFF"/>
            <w:vAlign w:val="center"/>
            <w:hideMark/>
          </w:tcPr>
          <w:p w:rsidR="00F453C3" w:rsidRPr="008D136A" w:rsidRDefault="00F453C3" w:rsidP="008D136A">
            <w:pPr>
              <w:jc w:val="both"/>
              <w:rPr>
                <w:color w:val="444141"/>
              </w:rPr>
            </w:pPr>
          </w:p>
        </w:tc>
      </w:tr>
    </w:tbl>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bookmarkStart w:id="1" w:name="_Hlk126051357"/>
      <w:r w:rsidRPr="008D136A">
        <w:rPr>
          <w:rFonts w:ascii="Times New Roman" w:hAnsi="Times New Roman" w:cs="Times New Roman"/>
          <w:color w:val="1C1C1C"/>
          <w:sz w:val="28"/>
          <w:szCs w:val="28"/>
        </w:rPr>
        <w:lastRenderedPageBreak/>
        <w:t>Правомерны ли сборы на проведение ремонта и прочие нужды образовательных организаций?</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Статьей 43 Конституции РФ и статьей 5 Федерального закона от 29.12.2012 № 273-ФЗ «Об образовании в Российской Федерации» закреплены гарантии общедоступности и бесплатности образования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бесплатности высшего образования, если образование данного уровня гражданин получает впервые.</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Пунктом 5 части 1 статьи 9 Федерального закона «Об образовании в Российской Федерации» определено, что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Таким образом, образовательная организация, какой является детский сад или школа, не вправе в принудительном порядке осуществлять сбор с родителей денежных средств на проведение ремонта, приобретение игрушек и канцтоваров, а также на иные нужды образовательной организации.</w:t>
      </w:r>
    </w:p>
    <w:bookmarkEnd w:id="1"/>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bookmarkStart w:id="2" w:name="_GoBack"/>
      <w:bookmarkEnd w:id="2"/>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Pr="008D136A" w:rsidRDefault="008D136A" w:rsidP="008D136A">
      <w:pPr>
        <w:pStyle w:val="a3"/>
        <w:shd w:val="clear" w:color="auto" w:fill="FFFFFF"/>
        <w:spacing w:before="0" w:beforeAutospacing="0" w:after="0" w:afterAutospacing="0"/>
        <w:jc w:val="both"/>
        <w:rPr>
          <w:color w:val="444141"/>
          <w:sz w:val="28"/>
          <w:szCs w:val="28"/>
        </w:rPr>
      </w:pPr>
    </w:p>
    <w:tbl>
      <w:tblPr>
        <w:tblW w:w="10110" w:type="dxa"/>
        <w:shd w:val="clear" w:color="auto" w:fill="FFFFFF"/>
        <w:tblCellMar>
          <w:top w:w="15" w:type="dxa"/>
          <w:left w:w="15" w:type="dxa"/>
          <w:bottom w:w="15" w:type="dxa"/>
          <w:right w:w="15" w:type="dxa"/>
        </w:tblCellMar>
        <w:tblLook w:val="04A0" w:firstRow="1" w:lastRow="0" w:firstColumn="1" w:lastColumn="0" w:noHBand="0" w:noVBand="1"/>
      </w:tblPr>
      <w:tblGrid>
        <w:gridCol w:w="10110"/>
      </w:tblGrid>
      <w:tr w:rsidR="00F453C3" w:rsidRPr="008D136A" w:rsidTr="00F453C3">
        <w:tc>
          <w:tcPr>
            <w:tcW w:w="0" w:type="auto"/>
            <w:shd w:val="clear" w:color="auto" w:fill="FFFFFF"/>
            <w:vAlign w:val="center"/>
            <w:hideMark/>
          </w:tcPr>
          <w:p w:rsidR="00F453C3" w:rsidRPr="008D136A" w:rsidRDefault="00F453C3" w:rsidP="008D136A">
            <w:pPr>
              <w:jc w:val="both"/>
              <w:rPr>
                <w:color w:val="444141"/>
              </w:rPr>
            </w:pPr>
          </w:p>
        </w:tc>
      </w:tr>
    </w:tbl>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Постановлением правительства РФ от 03.11.2022 № 1978 утверждены требования к системе обеспечения соблюдения операторами связи требований о блокировке звонков с подменных номеров.</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Так, с 1 января 2023 г. в России начнет работать система обеспечения соблюдения операторами связи требований при оказании услуг связи и услуг по пропуску трафика в сети связи общего пользования. Правительство утвердило требования к этой системе, а также правила ее функционирования и взаимодействия с информационными и иными системами, в т. ч. с системами операторов связи.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Система создается радиочастотной службой для соблюдения требований Закона о связи о блокировке звонков и сообщений с подменных номеров. Она должна обеспечивать в т. ч. анализ абонентских номеров и уникальных кодов идентификации абонентов; выявление соединений, в отношении которых отсутствует информация об их инициировании; мониторинг соблюдения операторами связи требований по прекращению пропуска трафика в отношении таких соединений; представление в Роскомнадзор сведений для мониторинга соблюдения операторами связи установленных обязанностей.</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 xml:space="preserve">Определен перечень информации, подлежащей обработке. Система будет функционировать ежедневно в круглосуточном режиме. Участниками взаимодействия с ней являются радиочастотная служба - ее оператор, </w:t>
      </w:r>
      <w:proofErr w:type="spellStart"/>
      <w:r w:rsidRPr="008D136A">
        <w:rPr>
          <w:color w:val="444141"/>
          <w:sz w:val="28"/>
          <w:szCs w:val="28"/>
        </w:rPr>
        <w:t>Минцифры</w:t>
      </w:r>
      <w:proofErr w:type="spellEnd"/>
      <w:r w:rsidRPr="008D136A">
        <w:rPr>
          <w:color w:val="444141"/>
          <w:sz w:val="28"/>
          <w:szCs w:val="28"/>
        </w:rPr>
        <w:t>, Роскомнадзор, органы, осуществляющие оперативно-</w:t>
      </w:r>
      <w:proofErr w:type="spellStart"/>
      <w:r w:rsidRPr="008D136A">
        <w:rPr>
          <w:color w:val="444141"/>
          <w:sz w:val="28"/>
          <w:szCs w:val="28"/>
        </w:rPr>
        <w:t>разыскную</w:t>
      </w:r>
      <w:proofErr w:type="spellEnd"/>
      <w:r w:rsidRPr="008D136A">
        <w:rPr>
          <w:color w:val="444141"/>
          <w:sz w:val="28"/>
          <w:szCs w:val="28"/>
        </w:rPr>
        <w:t xml:space="preserve"> деятельность, и операторы связи.</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Постановление вступает в силу с 1 января 2023 г.</w:t>
      </w: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tbl>
      <w:tblPr>
        <w:tblW w:w="10110" w:type="dxa"/>
        <w:shd w:val="clear" w:color="auto" w:fill="FFFFFF"/>
        <w:tblCellMar>
          <w:top w:w="15" w:type="dxa"/>
          <w:left w:w="15" w:type="dxa"/>
          <w:bottom w:w="15" w:type="dxa"/>
          <w:right w:w="15" w:type="dxa"/>
        </w:tblCellMar>
        <w:tblLook w:val="04A0" w:firstRow="1" w:lastRow="0" w:firstColumn="1" w:lastColumn="0" w:noHBand="0" w:noVBand="1"/>
      </w:tblPr>
      <w:tblGrid>
        <w:gridCol w:w="10110"/>
      </w:tblGrid>
      <w:tr w:rsidR="00F453C3" w:rsidRPr="008D136A" w:rsidTr="00F453C3">
        <w:tc>
          <w:tcPr>
            <w:tcW w:w="0" w:type="auto"/>
            <w:shd w:val="clear" w:color="auto" w:fill="FFFFFF"/>
            <w:vAlign w:val="center"/>
            <w:hideMark/>
          </w:tcPr>
          <w:p w:rsidR="00F453C3" w:rsidRPr="008D136A" w:rsidRDefault="00F453C3" w:rsidP="008D136A">
            <w:pPr>
              <w:jc w:val="both"/>
              <w:rPr>
                <w:color w:val="444141"/>
              </w:rPr>
            </w:pPr>
          </w:p>
        </w:tc>
      </w:tr>
    </w:tbl>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При проезде к месту лечения отдельных категорий детей-инвалидов предоставляется возможность воспользоваться авиаперелетом.</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Согласно, постановлению, правительства РФ от 14.11.2022   N 2045 «О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 при проезде к месту лечения отдельных категорий детей-инвалидов предоставляется возможность воспользоваться авиаперелетом.</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Авиаперелет за счет средств ФСС предоставляется при направлении к месту лечения и обратно детей-инвалидов с онкологическими, гематологическими и иммунологическими заболеваниями, получающих противоопухолевую и иммуномодулирующую терапию, детей-инвалидов, имеющих хроническую почечную недостаточность (находящихся на гемодиализе), и сопровождающих их лиц, проживающих на удалении от места лечения более чем на 12 часов следования железнодорожным транспортом или 1000 километров.</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Постановление вступает в силу с 1 января 2023 г.</w:t>
      </w: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Pr="008D136A" w:rsidRDefault="008D136A" w:rsidP="008D136A">
      <w:pPr>
        <w:pStyle w:val="a3"/>
        <w:shd w:val="clear" w:color="auto" w:fill="FFFFFF"/>
        <w:spacing w:before="0" w:beforeAutospacing="0" w:after="0" w:afterAutospacing="0"/>
        <w:jc w:val="both"/>
        <w:rPr>
          <w:color w:val="444141"/>
          <w:sz w:val="28"/>
          <w:szCs w:val="28"/>
        </w:rPr>
      </w:pPr>
    </w:p>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Об уголовной ответственности за неправомерный доступ к охраняемой законом компьютерной информации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Статьей 272 Уголовного кодекса Российской Федерации предусмотрена уголовная ответственность за неправомерный доступ к охраняемой законом компьютерной информации.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В соответствии с Федеральным законом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Под неправомерным понимается доступ к конфиденциальной информации 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Состав данного преступления предполагает обязательное наступление одного из последствий для охраняемой информации: а) уничтожение; б) блокирование; в) модификация; г) копирование.</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Стоит отметить, что техническая оснащенность современных игровых консолей приравнивает их к электронно-вычислительным машинам, они снабжены средствами защиты, в том числе в части использования только лицензионных носителей (</w:t>
      </w:r>
      <w:proofErr w:type="spellStart"/>
      <w:r w:rsidRPr="008D136A">
        <w:rPr>
          <w:color w:val="444141"/>
          <w:sz w:val="28"/>
          <w:szCs w:val="28"/>
        </w:rPr>
        <w:t>Blu-Ray</w:t>
      </w:r>
      <w:proofErr w:type="spellEnd"/>
      <w:r w:rsidRPr="008D136A">
        <w:rPr>
          <w:color w:val="444141"/>
          <w:sz w:val="28"/>
          <w:szCs w:val="28"/>
        </w:rPr>
        <w:t xml:space="preserve"> либо сетевого контента). Любая модификация, которая может нарушить работу защиты в целях использования «пиратских носителей», также квалифицируется по ст. 272 УК РФ как уголовно наказуемое деяние.</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Санкция ч. 1 ст. 272 УК РФ предусматривает альтернативные виды наказаний: в виде штрафа в размере до двухсот тысяч рублей или в размере заработной платы или иного дохода осужденного за период до восемнадцати месяцев; исправительные работы на срок до одного года; ограничение свободы до двух лет; принудительные работы до двух лет; лишение свободы на тот же срок.</w:t>
      </w:r>
    </w:p>
    <w:p w:rsidR="00F453C3"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В зависимости от способа совершения преступления и наступивших последствий предусмотрены квалифицирующие составы преступления – части 2-4 ст. 272 УК РФ. Максимальное наказание за данное преступление – до 7-ми лет лишения свободы.</w:t>
      </w: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Default="008D136A" w:rsidP="008D136A">
      <w:pPr>
        <w:pStyle w:val="a3"/>
        <w:shd w:val="clear" w:color="auto" w:fill="FFFFFF"/>
        <w:spacing w:before="0" w:beforeAutospacing="0" w:after="0" w:afterAutospacing="0"/>
        <w:jc w:val="both"/>
        <w:rPr>
          <w:color w:val="444141"/>
          <w:sz w:val="28"/>
          <w:szCs w:val="28"/>
        </w:rPr>
      </w:pPr>
    </w:p>
    <w:p w:rsidR="008D136A" w:rsidRPr="008D136A" w:rsidRDefault="008D136A" w:rsidP="008D136A">
      <w:pPr>
        <w:pStyle w:val="a3"/>
        <w:shd w:val="clear" w:color="auto" w:fill="FFFFFF"/>
        <w:spacing w:before="0" w:beforeAutospacing="0" w:after="0" w:afterAutospacing="0"/>
        <w:jc w:val="both"/>
        <w:rPr>
          <w:color w:val="444141"/>
          <w:sz w:val="28"/>
          <w:szCs w:val="28"/>
        </w:rPr>
      </w:pPr>
    </w:p>
    <w:p w:rsidR="00F453C3" w:rsidRPr="008D136A" w:rsidRDefault="00F453C3" w:rsidP="008D136A">
      <w:pPr>
        <w:pStyle w:val="2"/>
        <w:shd w:val="clear" w:color="auto" w:fill="FFFFFF"/>
        <w:spacing w:before="0"/>
        <w:jc w:val="both"/>
        <w:rPr>
          <w:rFonts w:ascii="Times New Roman" w:hAnsi="Times New Roman" w:cs="Times New Roman"/>
          <w:color w:val="1C1C1C"/>
          <w:sz w:val="28"/>
          <w:szCs w:val="28"/>
        </w:rPr>
      </w:pPr>
      <w:r w:rsidRPr="008D136A">
        <w:rPr>
          <w:rFonts w:ascii="Times New Roman" w:hAnsi="Times New Roman" w:cs="Times New Roman"/>
          <w:color w:val="1C1C1C"/>
          <w:sz w:val="28"/>
          <w:szCs w:val="28"/>
        </w:rPr>
        <w:lastRenderedPageBreak/>
        <w:t>Оспаривание бездействия судебного пристава</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Согласно ст. 121 Федерального закона № 229-ФЗ «Об исполнительном производстве» постановления Федеральной службы судебных приставов, а также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Судебная защита прав, свобод и законных интересов граждан и организаций при принудительном исполнении судебных актов, актов других органов и должностных лиц осуществляется в порядке искового производства по нормам Гражданского процессуального кодекса Российской Федерации,  Арбитражного процессуального кодекса Российской Федерации, административного судопроизводства - по нормам Кодекса административного судопроизводства Российской Федерации и производства по делам, возникающим из административных и иных публичных правоотношений, - по нормам Арбитражного процессуального кодекса РФ с учетом распределения компетенции между судами.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Требования об оспаривании постановлений, действий (бездействия) судебных приставов-исполнителей и иных должностных лиц Федеральной службы судебных приставов рассматриваются в порядке, предусмотренном главой 22 Кодекса административного судопроизводства РФ, и в порядке, предусмотренном главой 24 Арбитражного процессуального кодекса РФ.</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Жалоба на постановление Федеральной службы судебных приставов, а также на постановление должностного лица службы судебных приставов, его действия (бездействие) подается в течение десяти дней со дня вынесения Федеральной службой судебных приставов,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F453C3" w:rsidRPr="008D136A" w:rsidRDefault="00F453C3" w:rsidP="008D136A">
      <w:pPr>
        <w:pStyle w:val="a3"/>
        <w:shd w:val="clear" w:color="auto" w:fill="FFFFFF"/>
        <w:spacing w:before="0" w:beforeAutospacing="0" w:after="0" w:afterAutospacing="0"/>
        <w:jc w:val="both"/>
        <w:rPr>
          <w:color w:val="444141"/>
          <w:sz w:val="28"/>
          <w:szCs w:val="28"/>
        </w:rPr>
      </w:pPr>
      <w:r w:rsidRPr="008D136A">
        <w:rPr>
          <w:color w:val="444141"/>
          <w:sz w:val="28"/>
          <w:szCs w:val="28"/>
        </w:rPr>
        <w:t>Кроме того, жалоба на действия или бездействие должностных лиц службы судебных приставов может быть подана непосредственно вышестоящему должностному лицу ФССП: на судебного пристава-исполнителя – начальнику отделения судебных приставов-исполнителей, на начальника отделения – руководителю органов ФССП по субъекту и т.д., а также непосредственно в органы прокуратуры.</w:t>
      </w:r>
    </w:p>
    <w:tbl>
      <w:tblPr>
        <w:tblW w:w="10110" w:type="dxa"/>
        <w:shd w:val="clear" w:color="auto" w:fill="FFFFFF"/>
        <w:tblCellMar>
          <w:top w:w="15" w:type="dxa"/>
          <w:left w:w="15" w:type="dxa"/>
          <w:bottom w:w="15" w:type="dxa"/>
          <w:right w:w="15" w:type="dxa"/>
        </w:tblCellMar>
        <w:tblLook w:val="04A0" w:firstRow="1" w:lastRow="0" w:firstColumn="1" w:lastColumn="0" w:noHBand="0" w:noVBand="1"/>
      </w:tblPr>
      <w:tblGrid>
        <w:gridCol w:w="10110"/>
      </w:tblGrid>
      <w:tr w:rsidR="00F453C3" w:rsidRPr="008D136A" w:rsidTr="00F453C3">
        <w:tc>
          <w:tcPr>
            <w:tcW w:w="0" w:type="auto"/>
            <w:shd w:val="clear" w:color="auto" w:fill="FFFFFF"/>
            <w:vAlign w:val="center"/>
            <w:hideMark/>
          </w:tcPr>
          <w:p w:rsidR="00F453C3" w:rsidRPr="008D136A" w:rsidRDefault="00F453C3" w:rsidP="008D136A">
            <w:pPr>
              <w:jc w:val="both"/>
              <w:rPr>
                <w:color w:val="444141"/>
              </w:rPr>
            </w:pPr>
          </w:p>
        </w:tc>
      </w:tr>
    </w:tbl>
    <w:p w:rsidR="00F453C3" w:rsidRPr="008D136A" w:rsidRDefault="00F453C3" w:rsidP="008D136A">
      <w:pPr>
        <w:pStyle w:val="a3"/>
        <w:shd w:val="clear" w:color="auto" w:fill="FFFFFF"/>
        <w:spacing w:before="0" w:beforeAutospacing="0" w:after="0" w:afterAutospacing="0"/>
        <w:ind w:firstLine="709"/>
        <w:jc w:val="both"/>
        <w:rPr>
          <w:color w:val="000000"/>
          <w:sz w:val="28"/>
          <w:szCs w:val="28"/>
        </w:rPr>
      </w:pPr>
    </w:p>
    <w:p w:rsidR="00B90024" w:rsidRPr="008D136A" w:rsidRDefault="00B90024" w:rsidP="008D136A">
      <w:pPr>
        <w:shd w:val="clear" w:color="auto" w:fill="FFFFFF"/>
        <w:ind w:firstLine="709"/>
        <w:jc w:val="both"/>
        <w:rPr>
          <w:rFonts w:eastAsia="Times New Roman"/>
          <w:color w:val="000000"/>
          <w:lang w:eastAsia="ru-RU"/>
        </w:rPr>
      </w:pPr>
    </w:p>
    <w:p w:rsidR="00B90024" w:rsidRPr="008D136A" w:rsidRDefault="00B90024" w:rsidP="008D136A">
      <w:pPr>
        <w:pStyle w:val="a3"/>
        <w:shd w:val="clear" w:color="auto" w:fill="FFFFFF"/>
        <w:spacing w:before="0" w:beforeAutospacing="0" w:after="0" w:afterAutospacing="0"/>
        <w:jc w:val="both"/>
        <w:rPr>
          <w:color w:val="101010"/>
          <w:sz w:val="28"/>
          <w:szCs w:val="28"/>
        </w:rPr>
      </w:pPr>
    </w:p>
    <w:p w:rsidR="00B90024" w:rsidRPr="008D136A" w:rsidRDefault="00B90024" w:rsidP="008D136A">
      <w:pPr>
        <w:shd w:val="clear" w:color="auto" w:fill="FFFFFF"/>
        <w:jc w:val="both"/>
        <w:rPr>
          <w:rFonts w:eastAsia="Times New Roman"/>
          <w:color w:val="333333"/>
          <w:lang w:eastAsia="ru-RU"/>
        </w:rPr>
      </w:pPr>
    </w:p>
    <w:p w:rsidR="00B90024" w:rsidRPr="008D136A" w:rsidRDefault="00B90024" w:rsidP="008D136A">
      <w:pPr>
        <w:shd w:val="clear" w:color="auto" w:fill="FFFFFF"/>
        <w:jc w:val="both"/>
        <w:rPr>
          <w:rFonts w:eastAsia="Times New Roman"/>
          <w:color w:val="333333"/>
          <w:lang w:eastAsia="ru-RU"/>
        </w:rPr>
      </w:pPr>
    </w:p>
    <w:p w:rsidR="00B90024" w:rsidRPr="008D136A" w:rsidRDefault="00B90024" w:rsidP="008D136A">
      <w:pPr>
        <w:shd w:val="clear" w:color="auto" w:fill="FFFFFF"/>
        <w:jc w:val="both"/>
        <w:rPr>
          <w:rFonts w:eastAsia="Times New Roman"/>
          <w:color w:val="333333"/>
          <w:lang w:eastAsia="ru-RU"/>
        </w:rPr>
      </w:pPr>
    </w:p>
    <w:sectPr w:rsidR="00B90024" w:rsidRPr="008D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907"/>
    <w:rsid w:val="000E5AA8"/>
    <w:rsid w:val="000F58B9"/>
    <w:rsid w:val="00217907"/>
    <w:rsid w:val="002A7104"/>
    <w:rsid w:val="003639AE"/>
    <w:rsid w:val="003D1FBF"/>
    <w:rsid w:val="004D5C04"/>
    <w:rsid w:val="005D5D0D"/>
    <w:rsid w:val="005F1CFF"/>
    <w:rsid w:val="00605ADA"/>
    <w:rsid w:val="00617FF0"/>
    <w:rsid w:val="007803C3"/>
    <w:rsid w:val="007876A6"/>
    <w:rsid w:val="007A7FD7"/>
    <w:rsid w:val="008635D9"/>
    <w:rsid w:val="008D136A"/>
    <w:rsid w:val="00B90024"/>
    <w:rsid w:val="00BA0F87"/>
    <w:rsid w:val="00C31A66"/>
    <w:rsid w:val="00C770AA"/>
    <w:rsid w:val="00E574B8"/>
    <w:rsid w:val="00F4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1FD3"/>
  <w15:docId w15:val="{CB114629-C255-4FC3-B69F-C072987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90024"/>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F453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90024"/>
  </w:style>
  <w:style w:type="character" w:customStyle="1" w:styleId="feeds-pagenavigationtooltip">
    <w:name w:val="feeds-page__navigation_tooltip"/>
    <w:basedOn w:val="a0"/>
    <w:rsid w:val="00B90024"/>
  </w:style>
  <w:style w:type="paragraph" w:styleId="a3">
    <w:name w:val="Normal (Web)"/>
    <w:basedOn w:val="a"/>
    <w:uiPriority w:val="99"/>
    <w:unhideWhenUsed/>
    <w:rsid w:val="00B90024"/>
    <w:pPr>
      <w:spacing w:before="100" w:beforeAutospacing="1" w:after="100" w:afterAutospacing="1"/>
    </w:pPr>
    <w:rPr>
      <w:rFonts w:eastAsia="Times New Roman"/>
      <w:sz w:val="24"/>
      <w:szCs w:val="24"/>
      <w:lang w:eastAsia="ru-RU"/>
    </w:rPr>
  </w:style>
  <w:style w:type="character" w:customStyle="1" w:styleId="10">
    <w:name w:val="Заголовок 1 Знак"/>
    <w:basedOn w:val="a0"/>
    <w:link w:val="1"/>
    <w:uiPriority w:val="9"/>
    <w:rsid w:val="00B90024"/>
    <w:rPr>
      <w:rFonts w:eastAsia="Times New Roman"/>
      <w:b/>
      <w:bCs/>
      <w:kern w:val="36"/>
      <w:sz w:val="48"/>
      <w:szCs w:val="48"/>
      <w:lang w:eastAsia="ru-RU"/>
    </w:rPr>
  </w:style>
  <w:style w:type="character" w:customStyle="1" w:styleId="20">
    <w:name w:val="Заголовок 2 Знак"/>
    <w:basedOn w:val="a0"/>
    <w:link w:val="2"/>
    <w:uiPriority w:val="9"/>
    <w:semiHidden/>
    <w:rsid w:val="00F453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1953">
      <w:bodyDiv w:val="1"/>
      <w:marLeft w:val="0"/>
      <w:marRight w:val="0"/>
      <w:marTop w:val="0"/>
      <w:marBottom w:val="0"/>
      <w:divBdr>
        <w:top w:val="none" w:sz="0" w:space="0" w:color="auto"/>
        <w:left w:val="none" w:sz="0" w:space="0" w:color="auto"/>
        <w:bottom w:val="none" w:sz="0" w:space="0" w:color="auto"/>
        <w:right w:val="none" w:sz="0" w:space="0" w:color="auto"/>
      </w:divBdr>
    </w:div>
    <w:div w:id="290983624">
      <w:bodyDiv w:val="1"/>
      <w:marLeft w:val="0"/>
      <w:marRight w:val="0"/>
      <w:marTop w:val="0"/>
      <w:marBottom w:val="0"/>
      <w:divBdr>
        <w:top w:val="none" w:sz="0" w:space="0" w:color="auto"/>
        <w:left w:val="none" w:sz="0" w:space="0" w:color="auto"/>
        <w:bottom w:val="none" w:sz="0" w:space="0" w:color="auto"/>
        <w:right w:val="none" w:sz="0" w:space="0" w:color="auto"/>
      </w:divBdr>
    </w:div>
    <w:div w:id="510802485">
      <w:bodyDiv w:val="1"/>
      <w:marLeft w:val="0"/>
      <w:marRight w:val="0"/>
      <w:marTop w:val="0"/>
      <w:marBottom w:val="0"/>
      <w:divBdr>
        <w:top w:val="none" w:sz="0" w:space="0" w:color="auto"/>
        <w:left w:val="none" w:sz="0" w:space="0" w:color="auto"/>
        <w:bottom w:val="none" w:sz="0" w:space="0" w:color="auto"/>
        <w:right w:val="none" w:sz="0" w:space="0" w:color="auto"/>
      </w:divBdr>
      <w:divsChild>
        <w:div w:id="1496187542">
          <w:marLeft w:val="0"/>
          <w:marRight w:val="0"/>
          <w:marTop w:val="0"/>
          <w:marBottom w:val="0"/>
          <w:divBdr>
            <w:top w:val="none" w:sz="0" w:space="0" w:color="auto"/>
            <w:left w:val="none" w:sz="0" w:space="0" w:color="auto"/>
            <w:bottom w:val="none" w:sz="0" w:space="0" w:color="auto"/>
            <w:right w:val="none" w:sz="0" w:space="0" w:color="auto"/>
          </w:divBdr>
          <w:divsChild>
            <w:div w:id="1310208933">
              <w:marLeft w:val="0"/>
              <w:marRight w:val="0"/>
              <w:marTop w:val="0"/>
              <w:marBottom w:val="960"/>
              <w:divBdr>
                <w:top w:val="none" w:sz="0" w:space="0" w:color="auto"/>
                <w:left w:val="none" w:sz="0" w:space="0" w:color="auto"/>
                <w:bottom w:val="none" w:sz="0" w:space="0" w:color="auto"/>
                <w:right w:val="none" w:sz="0" w:space="0" w:color="auto"/>
              </w:divBdr>
            </w:div>
          </w:divsChild>
        </w:div>
        <w:div w:id="419834834">
          <w:marLeft w:val="0"/>
          <w:marRight w:val="0"/>
          <w:marTop w:val="0"/>
          <w:marBottom w:val="0"/>
          <w:divBdr>
            <w:top w:val="none" w:sz="0" w:space="0" w:color="auto"/>
            <w:left w:val="none" w:sz="0" w:space="0" w:color="auto"/>
            <w:bottom w:val="none" w:sz="0" w:space="0" w:color="auto"/>
            <w:right w:val="none" w:sz="0" w:space="0" w:color="auto"/>
          </w:divBdr>
          <w:divsChild>
            <w:div w:id="22899052">
              <w:marLeft w:val="0"/>
              <w:marRight w:val="720"/>
              <w:marTop w:val="0"/>
              <w:marBottom w:val="0"/>
              <w:divBdr>
                <w:top w:val="none" w:sz="0" w:space="0" w:color="auto"/>
                <w:left w:val="none" w:sz="0" w:space="0" w:color="auto"/>
                <w:bottom w:val="none" w:sz="0" w:space="0" w:color="auto"/>
                <w:right w:val="none" w:sz="0" w:space="0" w:color="auto"/>
              </w:divBdr>
              <w:divsChild>
                <w:div w:id="1024207378">
                  <w:marLeft w:val="0"/>
                  <w:marRight w:val="0"/>
                  <w:marTop w:val="0"/>
                  <w:marBottom w:val="120"/>
                  <w:divBdr>
                    <w:top w:val="none" w:sz="0" w:space="0" w:color="auto"/>
                    <w:left w:val="none" w:sz="0" w:space="0" w:color="auto"/>
                    <w:bottom w:val="none" w:sz="0" w:space="0" w:color="auto"/>
                    <w:right w:val="none" w:sz="0" w:space="0" w:color="auto"/>
                  </w:divBdr>
                </w:div>
                <w:div w:id="291323628">
                  <w:marLeft w:val="0"/>
                  <w:marRight w:val="0"/>
                  <w:marTop w:val="0"/>
                  <w:marBottom w:val="120"/>
                  <w:divBdr>
                    <w:top w:val="none" w:sz="0" w:space="0" w:color="auto"/>
                    <w:left w:val="none" w:sz="0" w:space="0" w:color="auto"/>
                    <w:bottom w:val="none" w:sz="0" w:space="0" w:color="auto"/>
                    <w:right w:val="none" w:sz="0" w:space="0" w:color="auto"/>
                  </w:divBdr>
                </w:div>
              </w:divsChild>
            </w:div>
            <w:div w:id="1525899695">
              <w:marLeft w:val="0"/>
              <w:marRight w:val="0"/>
              <w:marTop w:val="0"/>
              <w:marBottom w:val="0"/>
              <w:divBdr>
                <w:top w:val="none" w:sz="0" w:space="0" w:color="auto"/>
                <w:left w:val="none" w:sz="0" w:space="0" w:color="auto"/>
                <w:bottom w:val="none" w:sz="0" w:space="0" w:color="auto"/>
                <w:right w:val="none" w:sz="0" w:space="0" w:color="auto"/>
              </w:divBdr>
              <w:divsChild>
                <w:div w:id="47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2125">
      <w:bodyDiv w:val="1"/>
      <w:marLeft w:val="0"/>
      <w:marRight w:val="0"/>
      <w:marTop w:val="0"/>
      <w:marBottom w:val="0"/>
      <w:divBdr>
        <w:top w:val="none" w:sz="0" w:space="0" w:color="auto"/>
        <w:left w:val="none" w:sz="0" w:space="0" w:color="auto"/>
        <w:bottom w:val="none" w:sz="0" w:space="0" w:color="auto"/>
        <w:right w:val="none" w:sz="0" w:space="0" w:color="auto"/>
      </w:divBdr>
    </w:div>
    <w:div w:id="612520662">
      <w:bodyDiv w:val="1"/>
      <w:marLeft w:val="0"/>
      <w:marRight w:val="0"/>
      <w:marTop w:val="0"/>
      <w:marBottom w:val="0"/>
      <w:divBdr>
        <w:top w:val="none" w:sz="0" w:space="0" w:color="auto"/>
        <w:left w:val="none" w:sz="0" w:space="0" w:color="auto"/>
        <w:bottom w:val="none" w:sz="0" w:space="0" w:color="auto"/>
        <w:right w:val="none" w:sz="0" w:space="0" w:color="auto"/>
      </w:divBdr>
      <w:divsChild>
        <w:div w:id="952127745">
          <w:marLeft w:val="0"/>
          <w:marRight w:val="0"/>
          <w:marTop w:val="0"/>
          <w:marBottom w:val="0"/>
          <w:divBdr>
            <w:top w:val="none" w:sz="0" w:space="0" w:color="auto"/>
            <w:left w:val="none" w:sz="0" w:space="0" w:color="auto"/>
            <w:bottom w:val="none" w:sz="0" w:space="0" w:color="auto"/>
            <w:right w:val="none" w:sz="0" w:space="0" w:color="auto"/>
          </w:divBdr>
          <w:divsChild>
            <w:div w:id="2108230842">
              <w:marLeft w:val="0"/>
              <w:marRight w:val="0"/>
              <w:marTop w:val="0"/>
              <w:marBottom w:val="300"/>
              <w:divBdr>
                <w:top w:val="none" w:sz="0" w:space="0" w:color="auto"/>
                <w:left w:val="none" w:sz="0" w:space="0" w:color="auto"/>
                <w:bottom w:val="none" w:sz="0" w:space="0" w:color="auto"/>
                <w:right w:val="none" w:sz="0" w:space="0" w:color="auto"/>
              </w:divBdr>
            </w:div>
          </w:divsChild>
        </w:div>
        <w:div w:id="753013619">
          <w:marLeft w:val="0"/>
          <w:marRight w:val="0"/>
          <w:marTop w:val="0"/>
          <w:marBottom w:val="0"/>
          <w:divBdr>
            <w:top w:val="none" w:sz="0" w:space="0" w:color="auto"/>
            <w:left w:val="none" w:sz="0" w:space="0" w:color="auto"/>
            <w:bottom w:val="none" w:sz="0" w:space="0" w:color="auto"/>
            <w:right w:val="none" w:sz="0" w:space="0" w:color="auto"/>
          </w:divBdr>
        </w:div>
      </w:divsChild>
    </w:div>
    <w:div w:id="1004934193">
      <w:bodyDiv w:val="1"/>
      <w:marLeft w:val="0"/>
      <w:marRight w:val="0"/>
      <w:marTop w:val="0"/>
      <w:marBottom w:val="0"/>
      <w:divBdr>
        <w:top w:val="none" w:sz="0" w:space="0" w:color="auto"/>
        <w:left w:val="none" w:sz="0" w:space="0" w:color="auto"/>
        <w:bottom w:val="none" w:sz="0" w:space="0" w:color="auto"/>
        <w:right w:val="none" w:sz="0" w:space="0" w:color="auto"/>
      </w:divBdr>
      <w:divsChild>
        <w:div w:id="644046306">
          <w:marLeft w:val="0"/>
          <w:marRight w:val="0"/>
          <w:marTop w:val="0"/>
          <w:marBottom w:val="0"/>
          <w:divBdr>
            <w:top w:val="none" w:sz="0" w:space="0" w:color="auto"/>
            <w:left w:val="none" w:sz="0" w:space="0" w:color="auto"/>
            <w:bottom w:val="none" w:sz="0" w:space="0" w:color="auto"/>
            <w:right w:val="none" w:sz="0" w:space="0" w:color="auto"/>
          </w:divBdr>
          <w:divsChild>
            <w:div w:id="283846680">
              <w:marLeft w:val="0"/>
              <w:marRight w:val="0"/>
              <w:marTop w:val="0"/>
              <w:marBottom w:val="300"/>
              <w:divBdr>
                <w:top w:val="none" w:sz="0" w:space="0" w:color="auto"/>
                <w:left w:val="none" w:sz="0" w:space="0" w:color="auto"/>
                <w:bottom w:val="none" w:sz="0" w:space="0" w:color="auto"/>
                <w:right w:val="none" w:sz="0" w:space="0" w:color="auto"/>
              </w:divBdr>
            </w:div>
          </w:divsChild>
        </w:div>
        <w:div w:id="995574480">
          <w:marLeft w:val="0"/>
          <w:marRight w:val="0"/>
          <w:marTop w:val="0"/>
          <w:marBottom w:val="0"/>
          <w:divBdr>
            <w:top w:val="none" w:sz="0" w:space="0" w:color="auto"/>
            <w:left w:val="none" w:sz="0" w:space="0" w:color="auto"/>
            <w:bottom w:val="none" w:sz="0" w:space="0" w:color="auto"/>
            <w:right w:val="none" w:sz="0" w:space="0" w:color="auto"/>
          </w:divBdr>
        </w:div>
      </w:divsChild>
    </w:div>
    <w:div w:id="1347948113">
      <w:bodyDiv w:val="1"/>
      <w:marLeft w:val="0"/>
      <w:marRight w:val="0"/>
      <w:marTop w:val="0"/>
      <w:marBottom w:val="0"/>
      <w:divBdr>
        <w:top w:val="none" w:sz="0" w:space="0" w:color="auto"/>
        <w:left w:val="none" w:sz="0" w:space="0" w:color="auto"/>
        <w:bottom w:val="none" w:sz="0" w:space="0" w:color="auto"/>
        <w:right w:val="none" w:sz="0" w:space="0" w:color="auto"/>
      </w:divBdr>
    </w:div>
    <w:div w:id="1541701009">
      <w:bodyDiv w:val="1"/>
      <w:marLeft w:val="0"/>
      <w:marRight w:val="0"/>
      <w:marTop w:val="0"/>
      <w:marBottom w:val="0"/>
      <w:divBdr>
        <w:top w:val="none" w:sz="0" w:space="0" w:color="auto"/>
        <w:left w:val="none" w:sz="0" w:space="0" w:color="auto"/>
        <w:bottom w:val="none" w:sz="0" w:space="0" w:color="auto"/>
        <w:right w:val="none" w:sz="0" w:space="0" w:color="auto"/>
      </w:divBdr>
    </w:div>
    <w:div w:id="1659573450">
      <w:bodyDiv w:val="1"/>
      <w:marLeft w:val="0"/>
      <w:marRight w:val="0"/>
      <w:marTop w:val="0"/>
      <w:marBottom w:val="0"/>
      <w:divBdr>
        <w:top w:val="none" w:sz="0" w:space="0" w:color="auto"/>
        <w:left w:val="none" w:sz="0" w:space="0" w:color="auto"/>
        <w:bottom w:val="none" w:sz="0" w:space="0" w:color="auto"/>
        <w:right w:val="none" w:sz="0" w:space="0" w:color="auto"/>
      </w:divBdr>
    </w:div>
    <w:div w:id="2086147399">
      <w:bodyDiv w:val="1"/>
      <w:marLeft w:val="0"/>
      <w:marRight w:val="0"/>
      <w:marTop w:val="0"/>
      <w:marBottom w:val="0"/>
      <w:divBdr>
        <w:top w:val="none" w:sz="0" w:space="0" w:color="auto"/>
        <w:left w:val="none" w:sz="0" w:space="0" w:color="auto"/>
        <w:bottom w:val="none" w:sz="0" w:space="0" w:color="auto"/>
        <w:right w:val="none" w:sz="0" w:space="0" w:color="auto"/>
      </w:divBdr>
    </w:div>
    <w:div w:id="2102527585">
      <w:bodyDiv w:val="1"/>
      <w:marLeft w:val="0"/>
      <w:marRight w:val="0"/>
      <w:marTop w:val="0"/>
      <w:marBottom w:val="0"/>
      <w:divBdr>
        <w:top w:val="none" w:sz="0" w:space="0" w:color="auto"/>
        <w:left w:val="none" w:sz="0" w:space="0" w:color="auto"/>
        <w:bottom w:val="none" w:sz="0" w:space="0" w:color="auto"/>
        <w:right w:val="none" w:sz="0" w:space="0" w:color="auto"/>
      </w:divBdr>
    </w:div>
    <w:div w:id="2109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AA4E-CC57-4AE4-A910-F025140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Ковалева Анастасия Николаевна</cp:lastModifiedBy>
  <cp:revision>7</cp:revision>
  <dcterms:created xsi:type="dcterms:W3CDTF">2023-01-30T08:37:00Z</dcterms:created>
  <dcterms:modified xsi:type="dcterms:W3CDTF">2023-01-31T02:56:00Z</dcterms:modified>
</cp:coreProperties>
</file>