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41" w:rsidRDefault="0016160D" w:rsidP="00CF4D0F">
      <w:pPr>
        <w:jc w:val="center"/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ab/>
      </w:r>
      <w:r w:rsidR="00044E41" w:rsidRPr="00044E41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-305420</wp:posOffset>
            </wp:positionV>
            <wp:extent cx="3200400" cy="1318437"/>
            <wp:effectExtent l="0" t="0" r="0" b="0"/>
            <wp:wrapSquare wrapText="bothSides"/>
            <wp:docPr id="3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E41" w:rsidRDefault="00044E41" w:rsidP="00044E41">
      <w:pPr>
        <w:ind w:left="2124" w:firstLine="708"/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  <w:lang w:val="en-US"/>
        </w:rPr>
      </w:pPr>
    </w:p>
    <w:p w:rsidR="0016160D" w:rsidRDefault="0016160D" w:rsidP="00044E41">
      <w:pPr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>АНОНС</w:t>
      </w:r>
    </w:p>
    <w:p w:rsidR="00044E41" w:rsidRPr="00044E41" w:rsidRDefault="00044E41" w:rsidP="00044E41">
      <w:pPr>
        <w:ind w:left="2124" w:firstLine="708"/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  <w:lang w:val="en-US"/>
        </w:rPr>
      </w:pPr>
    </w:p>
    <w:p w:rsidR="00B13742" w:rsidRDefault="00BC1252" w:rsidP="00B13742">
      <w:pPr>
        <w:jc w:val="center"/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</w:pPr>
      <w:r w:rsidRPr="00CF4D0F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>Жител</w:t>
      </w:r>
      <w:r w:rsidR="001650BF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 xml:space="preserve">ям Хакасии расскажут, как исправить </w:t>
      </w:r>
      <w:r w:rsidRPr="00CF4D0F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>ошиб</w:t>
      </w:r>
      <w:r w:rsidR="001650BF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>ку</w:t>
      </w:r>
      <w:r w:rsidRPr="00CF4D0F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 xml:space="preserve"> в ЕГРН</w:t>
      </w:r>
    </w:p>
    <w:p w:rsidR="00BB5685" w:rsidRDefault="00BB5685" w:rsidP="00BB56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</w:pPr>
    </w:p>
    <w:p w:rsidR="00BB5685" w:rsidRDefault="00CF4D0F" w:rsidP="00BB56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</w:pPr>
      <w:r w:rsidRPr="00BB5685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>30</w:t>
      </w:r>
      <w:r w:rsidR="00BC1252" w:rsidRPr="00BB5685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 xml:space="preserve"> </w:t>
      </w:r>
      <w:r w:rsidRPr="00BB5685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>ноября</w:t>
      </w:r>
      <w:r w:rsidR="00BC1252" w:rsidRPr="00BB5685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 xml:space="preserve"> 202</w:t>
      </w:r>
      <w:r w:rsidRPr="00BB5685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>1</w:t>
      </w:r>
      <w:r w:rsidR="00BC1252" w:rsidRPr="00BB5685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 xml:space="preserve"> года Кадастровая палата </w:t>
      </w:r>
      <w:r w:rsidR="00BB5685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>по Республике Хакасия</w:t>
      </w:r>
      <w:r w:rsidR="00BC1252" w:rsidRPr="00BB5685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 xml:space="preserve"> проведет горячую линию для жителей </w:t>
      </w:r>
      <w:r w:rsidR="00BB5685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>региона</w:t>
      </w:r>
      <w:r w:rsidR="00BC1252" w:rsidRPr="00BB5685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 xml:space="preserve"> по вопрос</w:t>
      </w:r>
      <w:r w:rsidR="00BB5685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>ам</w:t>
      </w:r>
      <w:r w:rsidR="00BC1252" w:rsidRPr="00BB5685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 xml:space="preserve"> исправления технических ошибок в</w:t>
      </w:r>
      <w:r w:rsidR="00BB5685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 xml:space="preserve"> сведениях Единого государственного реестра </w:t>
      </w:r>
      <w:r w:rsidR="00BC1252" w:rsidRPr="00BB5685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>недвижимости (ЕГРН).</w:t>
      </w:r>
    </w:p>
    <w:p w:rsidR="00BB5685" w:rsidRPr="00BB5685" w:rsidRDefault="00BC1252" w:rsidP="00BB56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</w:pPr>
      <w:r w:rsidRPr="00BB568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Техническая ошибка – это ошибка, допущенная при включении сведений в ЕГРН при постановке на государственный кадастровый учет. Как правило, она представляет собой описку, опечатку, грамматическую или арифметическую ошибку, либо иную подобную ошибку.</w:t>
      </w:r>
      <w:r w:rsidR="00BB568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="00BB5685" w:rsidRPr="00BB568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Ее исправление не составит большого труда для правообладателей. Для этого достаточно подать соответствующее заявление. </w:t>
      </w:r>
    </w:p>
    <w:p w:rsidR="00BB5685" w:rsidRDefault="00BC1252" w:rsidP="00BB56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</w:pPr>
      <w:r w:rsidRPr="00BB568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Получить профессиональную консультацию </w:t>
      </w:r>
      <w:r w:rsidR="00BB568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о том, как это сделать </w:t>
      </w:r>
      <w:r w:rsidRPr="00BB568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и задать интересующие вопросы можно, позвонив специалисту </w:t>
      </w:r>
      <w:r w:rsidR="00BB568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–</w:t>
      </w:r>
      <w:r w:rsidRPr="00BB568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начальнику отдела обеспечения ведения ЕГРН, нормализации базы данных, инфраструктуры пространственных данных Кадастровой палаты по Республике Хакасия </w:t>
      </w:r>
      <w:r w:rsidR="00CF4D0F" w:rsidRPr="00BB568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Ксении Поляковой</w:t>
      </w:r>
      <w:r w:rsidRPr="00BB568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.</w:t>
      </w:r>
    </w:p>
    <w:p w:rsidR="00FC04F4" w:rsidRPr="00BB5685" w:rsidRDefault="00BB5685" w:rsidP="00BB56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Звонки будут приниматься с </w:t>
      </w:r>
      <w:r w:rsidRPr="00BB5685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>10:00 до 12:00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по телефону </w:t>
      </w:r>
      <w:r w:rsidRPr="00BB5685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>8 (3902) 35-84-96 (доб.</w:t>
      </w:r>
      <w:r w:rsidR="00BC1252" w:rsidRPr="00BB5685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 xml:space="preserve"> 221</w:t>
      </w:r>
      <w:r w:rsidR="00CF4D0F" w:rsidRPr="00BB5685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>5</w:t>
      </w:r>
      <w:r w:rsidR="00BC1252" w:rsidRPr="00BB5685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>).</w:t>
      </w:r>
      <w:bookmarkStart w:id="0" w:name="_GoBack"/>
      <w:bookmarkEnd w:id="0"/>
    </w:p>
    <w:p w:rsidR="0016160D" w:rsidRDefault="0016160D">
      <w:pPr>
        <w:rPr>
          <w:rFonts w:ascii="Times New Roman" w:hAnsi="Times New Roman" w:cs="Times New Roman"/>
          <w:sz w:val="28"/>
        </w:rPr>
      </w:pPr>
    </w:p>
    <w:p w:rsidR="0016160D" w:rsidRPr="00044E41" w:rsidRDefault="0016160D">
      <w:pPr>
        <w:rPr>
          <w:rFonts w:ascii="Times New Roman" w:hAnsi="Times New Roman" w:cs="Times New Roman"/>
          <w:sz w:val="28"/>
          <w:lang w:val="en-US"/>
        </w:rPr>
      </w:pPr>
    </w:p>
    <w:p w:rsidR="0016160D" w:rsidRDefault="0016160D">
      <w:pPr>
        <w:rPr>
          <w:rFonts w:ascii="Times New Roman" w:hAnsi="Times New Roman" w:cs="Times New Roman"/>
          <w:sz w:val="28"/>
        </w:rPr>
      </w:pPr>
    </w:p>
    <w:p w:rsidR="0016160D" w:rsidRPr="003856FD" w:rsidRDefault="0016160D" w:rsidP="0016160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Гермер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А.В</w:t>
      </w:r>
      <w:r w:rsidRPr="003856F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6160D" w:rsidRPr="003856FD" w:rsidRDefault="0016160D" w:rsidP="0016160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6FD">
        <w:rPr>
          <w:rFonts w:ascii="Times New Roman" w:eastAsia="Calibri" w:hAnsi="Times New Roman" w:cs="Times New Roman"/>
          <w:sz w:val="20"/>
          <w:szCs w:val="20"/>
        </w:rPr>
        <w:t>8(3902) 35 84 96 (</w:t>
      </w:r>
      <w:r w:rsidRPr="003856FD">
        <w:rPr>
          <w:rFonts w:ascii="Times New Roman" w:eastAsia="Calibri" w:hAnsi="Times New Roman" w:cs="Times New Roman"/>
          <w:sz w:val="20"/>
          <w:szCs w:val="20"/>
          <w:lang w:val="en-US"/>
        </w:rPr>
        <w:t>IP</w:t>
      </w:r>
      <w:r w:rsidRPr="003856FD">
        <w:rPr>
          <w:rFonts w:ascii="Times New Roman" w:eastAsia="Calibri" w:hAnsi="Times New Roman" w:cs="Times New Roman"/>
          <w:sz w:val="20"/>
          <w:szCs w:val="20"/>
        </w:rPr>
        <w:t>. 2271)</w:t>
      </w:r>
    </w:p>
    <w:p w:rsidR="0016160D" w:rsidRPr="0016160D" w:rsidRDefault="0016160D">
      <w:pPr>
        <w:rPr>
          <w:rFonts w:ascii="Times New Roman" w:hAnsi="Times New Roman" w:cs="Times New Roman"/>
          <w:sz w:val="28"/>
        </w:rPr>
      </w:pPr>
    </w:p>
    <w:sectPr w:rsidR="0016160D" w:rsidRPr="0016160D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252"/>
    <w:rsid w:val="00044E41"/>
    <w:rsid w:val="000B7AC8"/>
    <w:rsid w:val="0016160D"/>
    <w:rsid w:val="001650BF"/>
    <w:rsid w:val="001D1523"/>
    <w:rsid w:val="00857E01"/>
    <w:rsid w:val="00B13742"/>
    <w:rsid w:val="00BB5685"/>
    <w:rsid w:val="00BB5978"/>
    <w:rsid w:val="00BC1252"/>
    <w:rsid w:val="00CF4D0F"/>
    <w:rsid w:val="00F62B8B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8</cp:revision>
  <dcterms:created xsi:type="dcterms:W3CDTF">2021-11-25T07:03:00Z</dcterms:created>
  <dcterms:modified xsi:type="dcterms:W3CDTF">2021-11-26T08:36:00Z</dcterms:modified>
</cp:coreProperties>
</file>